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644E7">
        <w:rPr>
          <w:sz w:val="27"/>
          <w:szCs w:val="27"/>
        </w:rPr>
        <w:t>2</w:t>
      </w:r>
      <w:r w:rsidR="00C360C1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C360C1">
        <w:rPr>
          <w:sz w:val="27"/>
          <w:szCs w:val="27"/>
        </w:rPr>
        <w:t>8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F375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C360C1" w:rsidRPr="00C360C1">
        <w:rPr>
          <w:sz w:val="27"/>
          <w:szCs w:val="27"/>
        </w:rPr>
        <w:t>Об отказе в принятии на учет граждан, в качестве нуждающихся в жилых помещениях (в улучшении жилищных условий) в целях участия в федеральных и региональных программах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360C1" w:rsidRPr="00C360C1">
              <w:rPr>
                <w:sz w:val="27"/>
                <w:szCs w:val="27"/>
              </w:rPr>
              <w:t>с пунктом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6568E" w:rsidRDefault="0066568E" w:rsidP="003E7623">
      <w:r>
        <w:separator/>
      </w:r>
    </w:p>
  </w:endnote>
  <w:endnote w:type="continuationSeparator" w:id="0">
    <w:p w:rsidR="0066568E" w:rsidRDefault="0066568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6568E" w:rsidRDefault="0066568E" w:rsidP="003E7623">
      <w:r>
        <w:separator/>
      </w:r>
    </w:p>
  </w:footnote>
  <w:footnote w:type="continuationSeparator" w:id="0">
    <w:p w:rsidR="0066568E" w:rsidRDefault="0066568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6568E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60C1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FE4B7-1325-4576-A5FB-5C44DFBE4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2025-10-13T13:36:00Z</dcterms:created>
  <dcterms:modified xsi:type="dcterms:W3CDTF">2025-10-13T13:36:00Z</dcterms:modified>
</cp:coreProperties>
</file>